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00F38" w14:textId="77777777" w:rsidR="00AD0ABD" w:rsidRPr="007656C4" w:rsidRDefault="00AD0ABD" w:rsidP="006252D1">
      <w:pPr>
        <w:spacing w:after="0" w:line="240" w:lineRule="auto"/>
        <w:rPr>
          <w:lang w:val="es-MX"/>
        </w:rPr>
      </w:pPr>
    </w:p>
    <w:p w14:paraId="56100F39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3A" w14:textId="77777777" w:rsidR="006252D1" w:rsidRPr="007656C4" w:rsidRDefault="00F135D3" w:rsidP="006252D1">
      <w:pPr>
        <w:spacing w:after="0" w:line="240" w:lineRule="auto"/>
        <w:rPr>
          <w:sz w:val="32"/>
          <w:szCs w:val="32"/>
          <w:lang w:val="es-MX"/>
        </w:rPr>
      </w:pPr>
      <w:r w:rsidRPr="007656C4">
        <w:rPr>
          <w:rFonts w:ascii="Calibri" w:eastAsia="Calibri" w:hAnsi="Calibri" w:cs="Times New Roman"/>
          <w:sz w:val="32"/>
          <w:szCs w:val="32"/>
          <w:lang w:val="es-MX"/>
        </w:rPr>
        <w:t>Muestras de Envíos de MDRT</w:t>
      </w:r>
    </w:p>
    <w:p w14:paraId="56100F3B" w14:textId="77777777" w:rsidR="006252D1" w:rsidRPr="007656C4" w:rsidRDefault="00F135D3" w:rsidP="006252D1">
      <w:pPr>
        <w:spacing w:after="0" w:line="240" w:lineRule="auto"/>
        <w:rPr>
          <w:i/>
          <w:color w:val="808080" w:themeColor="background1" w:themeShade="80"/>
          <w:lang w:val="es-MX"/>
        </w:rPr>
      </w:pPr>
      <w:r w:rsidRPr="007656C4">
        <w:rPr>
          <w:rFonts w:ascii="Calibri" w:eastAsia="Calibri" w:hAnsi="Calibri" w:cs="Times New Roman"/>
          <w:i/>
          <w:iCs/>
          <w:color w:val="808080"/>
          <w:lang w:val="es-MX"/>
        </w:rPr>
        <w:t xml:space="preserve">(muestras proporcionadas de la Reunión Anual de MDRT de 2019) </w:t>
      </w:r>
    </w:p>
    <w:p w14:paraId="56100F3C" w14:textId="77777777" w:rsidR="006252D1" w:rsidRPr="007656C4" w:rsidRDefault="006252D1" w:rsidP="006252D1">
      <w:pPr>
        <w:spacing w:after="0" w:line="240" w:lineRule="auto"/>
        <w:rPr>
          <w:b/>
          <w:color w:val="0000FF"/>
          <w:lang w:val="es-MX"/>
        </w:rPr>
      </w:pPr>
    </w:p>
    <w:p w14:paraId="56100F3D" w14:textId="77777777" w:rsidR="006252D1" w:rsidRPr="007656C4" w:rsidRDefault="00F135D3" w:rsidP="006252D1">
      <w:pPr>
        <w:spacing w:after="0" w:line="240" w:lineRule="auto"/>
        <w:rPr>
          <w:b/>
          <w:color w:val="0000FF"/>
          <w:lang w:val="es-MX"/>
        </w:rPr>
      </w:pPr>
      <w:r w:rsidRPr="007656C4">
        <w:rPr>
          <w:rFonts w:ascii="Calibri" w:eastAsia="Calibri" w:hAnsi="Calibri" w:cs="Times New Roman"/>
          <w:b/>
          <w:bCs/>
          <w:color w:val="0000FF"/>
          <w:lang w:val="es-MX"/>
        </w:rPr>
        <w:t xml:space="preserve">Título y descripción </w:t>
      </w:r>
    </w:p>
    <w:p w14:paraId="56100F3E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72F7DE97" w14:textId="77777777" w:rsidR="00F135D3" w:rsidRDefault="00F135D3" w:rsidP="006252D1">
      <w:pPr>
        <w:spacing w:after="0" w:line="240" w:lineRule="auto"/>
        <w:rPr>
          <w:rFonts w:ascii="Calibri" w:eastAsia="Calibri" w:hAnsi="Calibri" w:cs="Times New Roman"/>
          <w:lang w:val="es-MX"/>
        </w:rPr>
      </w:pPr>
      <w:proofErr w:type="gramStart"/>
      <w:r w:rsidRPr="007656C4">
        <w:rPr>
          <w:rFonts w:ascii="Calibri" w:eastAsia="Calibri" w:hAnsi="Calibri" w:cs="Times New Roman"/>
          <w:lang w:val="es-MX"/>
        </w:rPr>
        <w:t>Pautas a seguir</w:t>
      </w:r>
      <w:proofErr w:type="gramEnd"/>
      <w:r w:rsidRPr="007656C4">
        <w:rPr>
          <w:rFonts w:ascii="Calibri" w:eastAsia="Calibri" w:hAnsi="Calibri" w:cs="Times New Roman"/>
          <w:lang w:val="es-MX"/>
        </w:rPr>
        <w:t xml:space="preserve"> para publicaciones de MDRT </w:t>
      </w:r>
    </w:p>
    <w:p w14:paraId="56100F3F" w14:textId="248F919D" w:rsidR="006252D1" w:rsidRPr="007656C4" w:rsidRDefault="00F135D3" w:rsidP="006252D1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 xml:space="preserve">Título 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</w:r>
      <w:r w:rsidRPr="007656C4">
        <w:rPr>
          <w:rFonts w:ascii="Calibri" w:eastAsia="Calibri" w:hAnsi="Calibri" w:cs="Times New Roman"/>
          <w:lang w:val="es-MX"/>
        </w:rPr>
        <w:t>8-10 palabras</w:t>
      </w:r>
    </w:p>
    <w:p w14:paraId="56100F40" w14:textId="32D1EA6F" w:rsidR="006252D1" w:rsidRPr="007656C4" w:rsidRDefault="00F135D3" w:rsidP="006252D1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 xml:space="preserve">Descripción </w:t>
      </w:r>
      <w:r>
        <w:rPr>
          <w:rFonts w:ascii="Calibri" w:eastAsia="Calibri" w:hAnsi="Calibri" w:cs="Times New Roman"/>
          <w:lang w:val="es-MX"/>
        </w:rPr>
        <w:tab/>
      </w:r>
      <w:r w:rsidRPr="007656C4">
        <w:rPr>
          <w:rFonts w:ascii="Calibri" w:eastAsia="Calibri" w:hAnsi="Calibri" w:cs="Times New Roman"/>
          <w:lang w:val="es-MX"/>
        </w:rPr>
        <w:t>80-</w:t>
      </w:r>
      <w:r w:rsidRPr="007656C4">
        <w:rPr>
          <w:rFonts w:ascii="Calibri" w:eastAsia="Calibri" w:hAnsi="Calibri" w:cs="Times New Roman"/>
          <w:lang w:val="es-MX"/>
        </w:rPr>
        <w:t xml:space="preserve">100 palabras </w:t>
      </w:r>
    </w:p>
    <w:p w14:paraId="56100F41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42" w14:textId="77777777" w:rsidR="006252D1" w:rsidRPr="007656C4" w:rsidRDefault="00F135D3" w:rsidP="006252D1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 xml:space="preserve">MDRT se reserva el derecho de revisar y editar todos los títulos y descripciones para corrección de gramática y pautas de estilo.  Solo se usará el apellido cuando </w:t>
      </w:r>
      <w:r w:rsidRPr="007656C4">
        <w:rPr>
          <w:rFonts w:ascii="Calibri" w:eastAsia="Calibri" w:hAnsi="Calibri" w:cs="Times New Roman"/>
          <w:lang w:val="es-MX"/>
        </w:rPr>
        <w:t xml:space="preserve">haga referencia al orador en la descripción.  </w:t>
      </w:r>
    </w:p>
    <w:p w14:paraId="56100F43" w14:textId="77777777" w:rsidR="006252D1" w:rsidRPr="007656C4" w:rsidRDefault="00F135D3" w:rsidP="006252D1">
      <w:pPr>
        <w:spacing w:after="0" w:line="240" w:lineRule="auto"/>
        <w:rPr>
          <w:b/>
          <w:lang w:val="es-MX"/>
        </w:rPr>
      </w:pPr>
      <w:r w:rsidRPr="007656C4">
        <w:rPr>
          <w:b/>
          <w:lang w:val="es-MX"/>
        </w:rPr>
        <w:t>…………………………………………………………………………………….</w:t>
      </w:r>
    </w:p>
    <w:p w14:paraId="56100F44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45" w14:textId="77777777" w:rsidR="006252D1" w:rsidRPr="007656C4" w:rsidRDefault="00F135D3" w:rsidP="006252D1">
      <w:pPr>
        <w:spacing w:after="0" w:line="240" w:lineRule="auto"/>
        <w:rPr>
          <w:b/>
          <w:lang w:val="es-MX"/>
        </w:rPr>
      </w:pPr>
      <w:r w:rsidRPr="007656C4">
        <w:rPr>
          <w:rFonts w:ascii="Calibri" w:eastAsia="Calibri" w:hAnsi="Calibri" w:cs="Times New Roman"/>
          <w:b/>
          <w:bCs/>
          <w:lang w:val="es-MX"/>
        </w:rPr>
        <w:t xml:space="preserve">John C. </w:t>
      </w:r>
      <w:proofErr w:type="spellStart"/>
      <w:r w:rsidRPr="007656C4">
        <w:rPr>
          <w:rFonts w:ascii="Calibri" w:eastAsia="Calibri" w:hAnsi="Calibri" w:cs="Times New Roman"/>
          <w:b/>
          <w:bCs/>
          <w:lang w:val="es-MX"/>
        </w:rPr>
        <w:t>Moshides</w:t>
      </w:r>
      <w:proofErr w:type="spellEnd"/>
      <w:r w:rsidRPr="007656C4">
        <w:rPr>
          <w:rFonts w:ascii="Calibri" w:eastAsia="Calibri" w:hAnsi="Calibri" w:cs="Times New Roman"/>
          <w:b/>
          <w:bCs/>
          <w:lang w:val="es-MX"/>
        </w:rPr>
        <w:t>, CLU, ChFC</w:t>
      </w:r>
    </w:p>
    <w:p w14:paraId="56100F46" w14:textId="77777777" w:rsidR="006252D1" w:rsidRPr="007656C4" w:rsidRDefault="00F135D3" w:rsidP="006252D1">
      <w:pPr>
        <w:spacing w:after="0" w:line="240" w:lineRule="auto"/>
        <w:rPr>
          <w:u w:val="single"/>
          <w:lang w:val="es-MX"/>
        </w:rPr>
      </w:pPr>
      <w:r w:rsidRPr="007656C4">
        <w:rPr>
          <w:rFonts w:ascii="Calibri" w:eastAsia="Calibri" w:hAnsi="Calibri" w:cs="Times New Roman"/>
          <w:u w:val="single"/>
          <w:lang w:val="es-MX"/>
        </w:rPr>
        <w:t>Título</w:t>
      </w:r>
    </w:p>
    <w:p w14:paraId="56100F47" w14:textId="77777777" w:rsidR="006252D1" w:rsidRPr="007656C4" w:rsidRDefault="00F135D3" w:rsidP="006252D1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>Las Llaves del Sin Fin</w:t>
      </w:r>
    </w:p>
    <w:p w14:paraId="56100F48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49" w14:textId="77777777" w:rsidR="006252D1" w:rsidRPr="007656C4" w:rsidRDefault="00F135D3" w:rsidP="006252D1">
      <w:pPr>
        <w:spacing w:after="0" w:line="240" w:lineRule="auto"/>
        <w:rPr>
          <w:u w:val="single"/>
          <w:lang w:val="es-MX"/>
        </w:rPr>
      </w:pPr>
      <w:r w:rsidRPr="007656C4">
        <w:rPr>
          <w:rFonts w:ascii="Calibri" w:eastAsia="Calibri" w:hAnsi="Calibri" w:cs="Times New Roman"/>
          <w:u w:val="single"/>
          <w:lang w:val="es-MX"/>
        </w:rPr>
        <w:t>Descripción</w:t>
      </w:r>
    </w:p>
    <w:p w14:paraId="56100F4A" w14:textId="77777777" w:rsidR="006252D1" w:rsidRPr="007656C4" w:rsidRDefault="00F135D3" w:rsidP="006252D1">
      <w:pPr>
        <w:spacing w:after="0" w:line="240" w:lineRule="auto"/>
        <w:rPr>
          <w:lang w:val="es-MX"/>
        </w:rPr>
      </w:pPr>
      <w:proofErr w:type="spellStart"/>
      <w:r w:rsidRPr="007656C4">
        <w:rPr>
          <w:rFonts w:ascii="Calibri" w:eastAsia="Calibri" w:hAnsi="Calibri" w:cs="Times New Roman"/>
          <w:lang w:val="es-MX"/>
        </w:rPr>
        <w:t>Moshides</w:t>
      </w:r>
      <w:proofErr w:type="spellEnd"/>
      <w:r w:rsidRPr="007656C4">
        <w:rPr>
          <w:rFonts w:ascii="Calibri" w:eastAsia="Calibri" w:hAnsi="Calibri" w:cs="Times New Roman"/>
          <w:lang w:val="es-MX"/>
        </w:rPr>
        <w:t xml:space="preserve"> comienza esta presentación multifacética con una reflexión sobre las decisiones críticas tomadas a lo largo de una carrera de 37 años que resultó en un crecimiento continuo desde haber calificado para MDRT a nivel básico;</w:t>
      </w:r>
      <w:r w:rsidRPr="007656C4">
        <w:rPr>
          <w:rFonts w:ascii="Calibri" w:eastAsia="Calibri" w:hAnsi="Calibri" w:cs="Times New Roman"/>
          <w:lang w:val="es-MX"/>
        </w:rPr>
        <w:t xml:space="preserve"> luego en Court of the Table y, finalmente, Top of the Table.  Aprende a liberarte de las zonas de confort autoimpuestas (nada fácil para la mayoría de los asesores, pero fundamental para el crecimiento futuro) y descubre los pasos para pasar de una prácti</w:t>
      </w:r>
      <w:r w:rsidRPr="007656C4">
        <w:rPr>
          <w:rFonts w:ascii="Calibri" w:eastAsia="Calibri" w:hAnsi="Calibri" w:cs="Times New Roman"/>
          <w:lang w:val="es-MX"/>
        </w:rPr>
        <w:t xml:space="preserve">ca basada en comisiones a una basada en honorarios.  </w:t>
      </w:r>
      <w:proofErr w:type="spellStart"/>
      <w:r w:rsidRPr="007656C4">
        <w:rPr>
          <w:rFonts w:ascii="Calibri" w:eastAsia="Calibri" w:hAnsi="Calibri" w:cs="Times New Roman"/>
          <w:lang w:val="es-MX"/>
        </w:rPr>
        <w:t>Moshides</w:t>
      </w:r>
      <w:proofErr w:type="spellEnd"/>
      <w:r w:rsidRPr="007656C4">
        <w:rPr>
          <w:rFonts w:ascii="Calibri" w:eastAsia="Calibri" w:hAnsi="Calibri" w:cs="Times New Roman"/>
          <w:lang w:val="es-MX"/>
        </w:rPr>
        <w:t xml:space="preserve"> también se enfoca en reconocer las trampas de la regresión antes de su tiempo.</w:t>
      </w:r>
    </w:p>
    <w:p w14:paraId="56100F4B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4C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4D" w14:textId="77777777" w:rsidR="006252D1" w:rsidRPr="007656C4" w:rsidRDefault="00F135D3" w:rsidP="006252D1">
      <w:pPr>
        <w:spacing w:after="0" w:line="240" w:lineRule="auto"/>
        <w:rPr>
          <w:b/>
          <w:lang w:val="es-MX"/>
        </w:rPr>
      </w:pPr>
      <w:r w:rsidRPr="007656C4">
        <w:rPr>
          <w:rFonts w:ascii="Calibri" w:eastAsia="Calibri" w:hAnsi="Calibri" w:cs="Times New Roman"/>
          <w:b/>
          <w:bCs/>
          <w:lang w:val="es-MX"/>
        </w:rPr>
        <w:t>Trish R. Tutton</w:t>
      </w:r>
    </w:p>
    <w:p w14:paraId="56100F4E" w14:textId="77777777" w:rsidR="006252D1" w:rsidRPr="007656C4" w:rsidRDefault="00F135D3" w:rsidP="006252D1">
      <w:pPr>
        <w:spacing w:after="0" w:line="240" w:lineRule="auto"/>
        <w:rPr>
          <w:u w:val="single"/>
          <w:lang w:val="es-MX"/>
        </w:rPr>
      </w:pPr>
      <w:r w:rsidRPr="007656C4">
        <w:rPr>
          <w:rFonts w:ascii="Calibri" w:eastAsia="Calibri" w:hAnsi="Calibri" w:cs="Times New Roman"/>
          <w:u w:val="single"/>
          <w:lang w:val="es-MX"/>
        </w:rPr>
        <w:t>Título</w:t>
      </w:r>
    </w:p>
    <w:p w14:paraId="56100F4F" w14:textId="77777777" w:rsidR="006252D1" w:rsidRPr="007656C4" w:rsidRDefault="00F135D3" w:rsidP="006252D1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>Trabaja más feliz, no más duro, poniendo atención</w:t>
      </w:r>
    </w:p>
    <w:p w14:paraId="56100F50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51" w14:textId="77777777" w:rsidR="006252D1" w:rsidRPr="007656C4" w:rsidRDefault="00F135D3" w:rsidP="006252D1">
      <w:pPr>
        <w:spacing w:after="0" w:line="240" w:lineRule="auto"/>
        <w:rPr>
          <w:u w:val="single"/>
          <w:lang w:val="es-MX"/>
        </w:rPr>
      </w:pPr>
      <w:r w:rsidRPr="007656C4">
        <w:rPr>
          <w:rFonts w:ascii="Calibri" w:eastAsia="Calibri" w:hAnsi="Calibri" w:cs="Times New Roman"/>
          <w:u w:val="single"/>
          <w:lang w:val="es-MX"/>
        </w:rPr>
        <w:t>Descripción</w:t>
      </w:r>
    </w:p>
    <w:p w14:paraId="56100F52" w14:textId="77777777" w:rsidR="006252D1" w:rsidRPr="007656C4" w:rsidRDefault="00F135D3" w:rsidP="006252D1">
      <w:pPr>
        <w:spacing w:after="0" w:line="240" w:lineRule="auto"/>
        <w:rPr>
          <w:lang w:val="es-MX"/>
        </w:rPr>
      </w:pPr>
      <w:proofErr w:type="spellStart"/>
      <w:r w:rsidRPr="007656C4">
        <w:rPr>
          <w:rFonts w:ascii="Calibri" w:eastAsia="Calibri" w:hAnsi="Calibri" w:cs="Times New Roman"/>
          <w:lang w:val="es-MX"/>
        </w:rPr>
        <w:t>Tutto</w:t>
      </w:r>
      <w:proofErr w:type="spellEnd"/>
      <w:r w:rsidRPr="007656C4">
        <w:rPr>
          <w:rFonts w:ascii="Calibri" w:eastAsia="Calibri" w:hAnsi="Calibri" w:cs="Times New Roman"/>
          <w:lang w:val="es-MX"/>
        </w:rPr>
        <w:t xml:space="preserve"> enseña sobre las poderosas investigaciones sobre la atención, y comparte los beneficios y ventajas tangibles para tener un mejor enfoque en el traba</w:t>
      </w:r>
      <w:r w:rsidRPr="007656C4">
        <w:rPr>
          <w:rFonts w:ascii="Calibri" w:eastAsia="Calibri" w:hAnsi="Calibri" w:cs="Times New Roman"/>
          <w:lang w:val="es-MX"/>
        </w:rPr>
        <w:t>jo. ¿Sabías que el modo funcional normal de nuestro cerebro es estar distraído? Tutton explora el uso de la atención para apagar el piloto automático a fin de poderte enfocar y ser más productivo. Ella demostrará técnicas energéticas y cómo incorporarlas a</w:t>
      </w:r>
      <w:r w:rsidRPr="007656C4">
        <w:rPr>
          <w:rFonts w:ascii="Calibri" w:eastAsia="Calibri" w:hAnsi="Calibri" w:cs="Times New Roman"/>
          <w:lang w:val="es-MX"/>
        </w:rPr>
        <w:t xml:space="preserve"> tus actividades cotidianas.  Comparte sobre los beneficios transformadores de prácticas sencillas de atención: Desde ser más enfocado y eficientes en nuestro trabajo, hasta ser más gentil con los demás para experimentar menos estrés y agotamiento en el dí</w:t>
      </w:r>
      <w:r w:rsidRPr="007656C4">
        <w:rPr>
          <w:rFonts w:ascii="Calibri" w:eastAsia="Calibri" w:hAnsi="Calibri" w:cs="Times New Roman"/>
          <w:lang w:val="es-MX"/>
        </w:rPr>
        <w:t xml:space="preserve">a con día. </w:t>
      </w:r>
    </w:p>
    <w:p w14:paraId="56100F53" w14:textId="77777777" w:rsidR="00B9070E" w:rsidRPr="007656C4" w:rsidRDefault="00B9070E" w:rsidP="006252D1">
      <w:pPr>
        <w:spacing w:after="0" w:line="240" w:lineRule="auto"/>
        <w:rPr>
          <w:lang w:val="es-MX"/>
        </w:rPr>
      </w:pPr>
    </w:p>
    <w:p w14:paraId="56100F54" w14:textId="77777777" w:rsidR="006252D1" w:rsidRPr="007656C4" w:rsidRDefault="006252D1" w:rsidP="006252D1">
      <w:pPr>
        <w:spacing w:after="0" w:line="240" w:lineRule="auto"/>
        <w:rPr>
          <w:lang w:val="es-MX"/>
        </w:rPr>
      </w:pPr>
    </w:p>
    <w:p w14:paraId="56100F55" w14:textId="77777777" w:rsidR="00B9070E" w:rsidRPr="007656C4" w:rsidRDefault="00F135D3" w:rsidP="00B9070E">
      <w:pPr>
        <w:spacing w:after="0" w:line="240" w:lineRule="auto"/>
        <w:rPr>
          <w:b/>
          <w:lang w:val="es-MX"/>
        </w:rPr>
      </w:pPr>
      <w:r w:rsidRPr="007656C4">
        <w:rPr>
          <w:rFonts w:ascii="Calibri" w:eastAsia="Calibri" w:hAnsi="Calibri" w:cs="Times New Roman"/>
          <w:b/>
          <w:bCs/>
          <w:lang w:val="es-MX"/>
        </w:rPr>
        <w:t>Monroe M. Diefendorf Jr., CFP, CAP</w:t>
      </w:r>
    </w:p>
    <w:p w14:paraId="56100F56" w14:textId="77777777" w:rsidR="00B9070E" w:rsidRPr="007656C4" w:rsidRDefault="00F135D3" w:rsidP="00B9070E">
      <w:pPr>
        <w:spacing w:after="0" w:line="240" w:lineRule="auto"/>
        <w:rPr>
          <w:u w:val="single"/>
          <w:lang w:val="es-MX"/>
        </w:rPr>
      </w:pPr>
      <w:r w:rsidRPr="007656C4">
        <w:rPr>
          <w:rFonts w:ascii="Calibri" w:eastAsia="Calibri" w:hAnsi="Calibri" w:cs="Times New Roman"/>
          <w:u w:val="single"/>
          <w:lang w:val="es-MX"/>
        </w:rPr>
        <w:t>Título</w:t>
      </w:r>
    </w:p>
    <w:p w14:paraId="56100F57" w14:textId="77777777" w:rsidR="00B9070E" w:rsidRPr="007656C4" w:rsidRDefault="00F135D3" w:rsidP="00B9070E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>Convierte a la familia en tus clientes</w:t>
      </w:r>
    </w:p>
    <w:p w14:paraId="56100F58" w14:textId="77777777" w:rsidR="00B9070E" w:rsidRPr="007656C4" w:rsidRDefault="00B9070E" w:rsidP="00B9070E">
      <w:pPr>
        <w:spacing w:after="0" w:line="240" w:lineRule="auto"/>
        <w:rPr>
          <w:lang w:val="es-MX"/>
        </w:rPr>
      </w:pPr>
    </w:p>
    <w:p w14:paraId="56100F59" w14:textId="77777777" w:rsidR="00B9070E" w:rsidRPr="007656C4" w:rsidRDefault="00F135D3" w:rsidP="00B9070E">
      <w:pPr>
        <w:spacing w:after="0" w:line="240" w:lineRule="auto"/>
        <w:rPr>
          <w:u w:val="single"/>
          <w:lang w:val="es-MX"/>
        </w:rPr>
      </w:pPr>
      <w:r w:rsidRPr="007656C4">
        <w:rPr>
          <w:rFonts w:ascii="Calibri" w:eastAsia="Calibri" w:hAnsi="Calibri" w:cs="Times New Roman"/>
          <w:u w:val="single"/>
          <w:lang w:val="es-MX"/>
        </w:rPr>
        <w:t>Descripción</w:t>
      </w:r>
    </w:p>
    <w:p w14:paraId="56100F5A" w14:textId="77777777" w:rsidR="00B9070E" w:rsidRPr="007656C4" w:rsidRDefault="00F135D3" w:rsidP="00B9070E">
      <w:pPr>
        <w:spacing w:after="0" w:line="240" w:lineRule="auto"/>
        <w:rPr>
          <w:lang w:val="es-MX"/>
        </w:rPr>
      </w:pPr>
      <w:r w:rsidRPr="007656C4">
        <w:rPr>
          <w:rFonts w:ascii="Calibri" w:eastAsia="Calibri" w:hAnsi="Calibri" w:cs="Times New Roman"/>
          <w:lang w:val="es-MX"/>
        </w:rPr>
        <w:t>Diefendorf cubrirá la transformación de una práctica de asesoría desde la venta de seguros de vida individuales hasta el asesoramiento a toda la familia, asegurando la continuidad de tu asesoría.  El cambio en el enfoque del “in</w:t>
      </w:r>
      <w:r w:rsidRPr="007656C4">
        <w:rPr>
          <w:rFonts w:ascii="Calibri" w:eastAsia="Calibri" w:hAnsi="Calibri" w:cs="Times New Roman"/>
          <w:lang w:val="es-MX"/>
        </w:rPr>
        <w:t>dividuo” a “la familia” se describirá y comparará con la tecnología para incorporar a los miembros de la familia en el proceso de planeación. Establecer un proceso multigeneracional y utilizar los cuatro elementos para preparar a los herederos (valores, le</w:t>
      </w:r>
      <w:r w:rsidRPr="007656C4">
        <w:rPr>
          <w:rFonts w:ascii="Calibri" w:eastAsia="Calibri" w:hAnsi="Calibri" w:cs="Times New Roman"/>
          <w:lang w:val="es-MX"/>
        </w:rPr>
        <w:t>gado, gratitud y gobernanza) son las herramientas fundamentales.  Diefendorf también describe los pasos para el plan de sucesión de un asesor, que se convierte en un componente crítico cuando se trabaja con familias.</w:t>
      </w:r>
    </w:p>
    <w:p w14:paraId="56100F5B" w14:textId="77777777" w:rsidR="00B9070E" w:rsidRPr="007656C4" w:rsidRDefault="00B9070E" w:rsidP="00B9070E">
      <w:pPr>
        <w:spacing w:after="0" w:line="240" w:lineRule="auto"/>
        <w:rPr>
          <w:lang w:val="es-MX"/>
        </w:rPr>
      </w:pPr>
    </w:p>
    <w:sectPr w:rsidR="00B9070E" w:rsidRPr="007656C4" w:rsidSect="00894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D1"/>
    <w:rsid w:val="006252D1"/>
    <w:rsid w:val="007656C4"/>
    <w:rsid w:val="00894CD5"/>
    <w:rsid w:val="00936A93"/>
    <w:rsid w:val="009A422C"/>
    <w:rsid w:val="00AD0ABD"/>
    <w:rsid w:val="00B74E39"/>
    <w:rsid w:val="00B9070E"/>
    <w:rsid w:val="00F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0F38"/>
  <w15:chartTrackingRefBased/>
  <w15:docId w15:val="{2C55A84F-30BF-4B55-B3AF-8DEDCA0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Schneider</dc:creator>
  <cp:lastModifiedBy>JOSE GIBLER</cp:lastModifiedBy>
  <cp:revision>3</cp:revision>
  <dcterms:created xsi:type="dcterms:W3CDTF">2020-04-29T19:56:00Z</dcterms:created>
  <dcterms:modified xsi:type="dcterms:W3CDTF">2020-07-03T18:51:00Z</dcterms:modified>
</cp:coreProperties>
</file>